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7FA3" w14:textId="5549553E" w:rsidR="004945F2" w:rsidRPr="007635C9" w:rsidRDefault="004945F2" w:rsidP="004D529E">
      <w:pPr>
        <w:rPr>
          <w:lang w:val="en-GB"/>
        </w:rPr>
      </w:pP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559"/>
      </w:tblGrid>
      <w:tr w:rsidR="00206146" w:rsidRPr="00741F16" w14:paraId="70EE9955" w14:textId="77777777" w:rsidTr="004F1D14">
        <w:tc>
          <w:tcPr>
            <w:tcW w:w="8330" w:type="dxa"/>
          </w:tcPr>
          <w:p w14:paraId="150CA646" w14:textId="40DAA055" w:rsidR="007553D3" w:rsidRPr="00741F16" w:rsidRDefault="004F1D14" w:rsidP="004F1D14">
            <w:pPr>
              <w:pStyle w:val="Paragrafoelenco"/>
              <w:rPr>
                <w:rFonts w:cs="Arial"/>
                <w:highlight w:val="yellow"/>
              </w:rPr>
            </w:pPr>
            <w:r w:rsidRPr="00741F16">
              <w:rPr>
                <w:rFonts w:cs="Arial"/>
              </w:rPr>
              <w:t>Authorised for external communication</w:t>
            </w:r>
          </w:p>
          <w:p w14:paraId="19E24B58" w14:textId="77777777" w:rsidR="007553D3" w:rsidRPr="00741F16" w:rsidRDefault="007553D3" w:rsidP="004F1D14">
            <w:pPr>
              <w:pStyle w:val="Paragrafoelenco"/>
              <w:rPr>
                <w:rFonts w:cs="Arial"/>
                <w:highlight w:val="yellow"/>
              </w:rPr>
            </w:pPr>
          </w:p>
          <w:p w14:paraId="5756B88F" w14:textId="7A819BB9" w:rsidR="00206146" w:rsidRPr="00741F16" w:rsidRDefault="004F1D14" w:rsidP="00184B07">
            <w:pPr>
              <w:pStyle w:val="Paragrafoelenco"/>
              <w:rPr>
                <w:rFonts w:cs="Arial"/>
              </w:rPr>
            </w:pPr>
            <w:r w:rsidRPr="00741F16">
              <w:rPr>
                <w:rFonts w:cs="Arial"/>
              </w:rPr>
              <w:t xml:space="preserve">Valid from </w:t>
            </w:r>
            <w:r w:rsidR="002C3B31">
              <w:rPr>
                <w:rFonts w:cs="Arial"/>
              </w:rPr>
              <w:t>2019</w:t>
            </w:r>
            <w:r w:rsidRPr="00741F16">
              <w:rPr>
                <w:rFonts w:cs="Arial"/>
              </w:rPr>
              <w:t xml:space="preserve"> | Updated </w:t>
            </w:r>
            <w:r w:rsidR="00224B3D" w:rsidRPr="00D264D5">
              <w:t>2019-05-24</w:t>
            </w:r>
          </w:p>
        </w:tc>
        <w:tc>
          <w:tcPr>
            <w:tcW w:w="1559" w:type="dxa"/>
          </w:tcPr>
          <w:p w14:paraId="34F332BF" w14:textId="3DABEDFF" w:rsidR="00206146" w:rsidRPr="00741F16" w:rsidRDefault="00206146" w:rsidP="004F1D14">
            <w:pPr>
              <w:pStyle w:val="Paragrafoelenco"/>
              <w:ind w:left="-108" w:hanging="1"/>
              <w:rPr>
                <w:rFonts w:cs="Arial"/>
              </w:rPr>
            </w:pPr>
            <w:r w:rsidRPr="00741F16">
              <w:rPr>
                <w:rFonts w:cs="Arial"/>
              </w:rPr>
              <w:t xml:space="preserve"> </w:t>
            </w:r>
          </w:p>
        </w:tc>
      </w:tr>
    </w:tbl>
    <w:p w14:paraId="1E8D2EE9" w14:textId="77777777" w:rsidR="0044676D" w:rsidRPr="00741F16" w:rsidRDefault="0044676D" w:rsidP="00B27D67">
      <w:pPr>
        <w:pStyle w:val="Corpotesto"/>
        <w:tabs>
          <w:tab w:val="clear" w:pos="426"/>
          <w:tab w:val="left" w:pos="9632"/>
        </w:tabs>
        <w:rPr>
          <w:rFonts w:cs="Arial"/>
        </w:rPr>
      </w:pPr>
    </w:p>
    <w:p w14:paraId="6C7E2017" w14:textId="77777777" w:rsidR="00184B07" w:rsidRPr="00741F16" w:rsidRDefault="00184B07" w:rsidP="004F1D14">
      <w:pPr>
        <w:pStyle w:val="Corpotesto"/>
        <w:rPr>
          <w:rFonts w:cs="Arial"/>
          <w:b/>
          <w:color w:val="000000" w:themeColor="text1"/>
          <w:sz w:val="40"/>
        </w:rPr>
      </w:pPr>
      <w:r w:rsidRPr="00741F16">
        <w:rPr>
          <w:rFonts w:cs="Arial"/>
          <w:b/>
          <w:color w:val="000000" w:themeColor="text1"/>
          <w:sz w:val="40"/>
        </w:rPr>
        <w:t>CONFIDENTIALITY AGREEMENT</w:t>
      </w:r>
    </w:p>
    <w:p w14:paraId="108D528B" w14:textId="77777777" w:rsidR="00184B07" w:rsidRPr="00741F16" w:rsidRDefault="00184B07" w:rsidP="00184B07">
      <w:pPr>
        <w:pStyle w:val="Corpotesto"/>
        <w:rPr>
          <w:rFonts w:cs="Arial"/>
        </w:rPr>
      </w:pPr>
      <w:r w:rsidRPr="00741F16">
        <w:rPr>
          <w:rFonts w:cs="Arial"/>
        </w:rPr>
        <w:t>This Confidentiality Agreement (the “Agreement”) has been entered into between:</w:t>
      </w:r>
    </w:p>
    <w:p w14:paraId="606835F1" w14:textId="77777777" w:rsidR="00184B07" w:rsidRPr="00741F16" w:rsidRDefault="00184B07" w:rsidP="00184B07">
      <w:pPr>
        <w:pStyle w:val="Corpotesto"/>
        <w:rPr>
          <w:rFonts w:cs="Arial"/>
        </w:rPr>
      </w:pPr>
      <w:r w:rsidRPr="00741F16">
        <w:rPr>
          <w:rFonts w:cs="Arial"/>
          <w:b/>
        </w:rPr>
        <w:t>Ewellix</w:t>
      </w:r>
      <w:r w:rsidRPr="00741F16">
        <w:rPr>
          <w:rFonts w:cs="Arial"/>
        </w:rPr>
        <w:t xml:space="preserve"> </w:t>
      </w:r>
      <w:r w:rsidRPr="00741F16">
        <w:rPr>
          <w:rFonts w:cs="Arial"/>
          <w:b/>
        </w:rPr>
        <w:t>[*Insert local Ewellix legal unit*]</w:t>
      </w:r>
      <w:r w:rsidRPr="00741F16">
        <w:rPr>
          <w:rFonts w:cs="Arial"/>
        </w:rPr>
        <w:t xml:space="preserve"> company registration number </w:t>
      </w:r>
      <w:r w:rsidRPr="00741F16">
        <w:rPr>
          <w:rFonts w:cs="Arial"/>
          <w:b/>
        </w:rPr>
        <w:t>[**]</w:t>
      </w:r>
      <w:r w:rsidRPr="00741F16">
        <w:rPr>
          <w:rFonts w:cs="Arial"/>
        </w:rPr>
        <w:t xml:space="preserve">, with registered address at </w:t>
      </w:r>
      <w:r w:rsidRPr="00741F16">
        <w:rPr>
          <w:rFonts w:cs="Arial"/>
          <w:b/>
        </w:rPr>
        <w:t>[**]</w:t>
      </w:r>
      <w:r w:rsidRPr="00741F16">
        <w:rPr>
          <w:rFonts w:cs="Arial"/>
        </w:rPr>
        <w:t xml:space="preserve"> (“Ewellix”); and</w:t>
      </w:r>
    </w:p>
    <w:p w14:paraId="6DC6F762" w14:textId="7943F5F0" w:rsidR="00184B07" w:rsidRPr="00741F16" w:rsidRDefault="00184B07" w:rsidP="00184B07">
      <w:pPr>
        <w:pStyle w:val="Corpotesto"/>
        <w:rPr>
          <w:rFonts w:cs="Arial"/>
        </w:rPr>
      </w:pPr>
      <w:r w:rsidRPr="00741F16">
        <w:rPr>
          <w:rFonts w:cs="Arial"/>
          <w:b/>
        </w:rPr>
        <w:t>[*Insert the other party*]</w:t>
      </w:r>
      <w:r w:rsidRPr="00741F16">
        <w:rPr>
          <w:rFonts w:cs="Arial"/>
        </w:rPr>
        <w:t xml:space="preserve"> company registration number </w:t>
      </w:r>
      <w:r w:rsidRPr="00741F16">
        <w:rPr>
          <w:rFonts w:cs="Arial"/>
          <w:b/>
        </w:rPr>
        <w:t>[**]</w:t>
      </w:r>
      <w:r w:rsidRPr="00741F16">
        <w:rPr>
          <w:rFonts w:cs="Arial"/>
        </w:rPr>
        <w:t xml:space="preserve">, with registered address at </w:t>
      </w:r>
      <w:r w:rsidRPr="00741F16">
        <w:rPr>
          <w:rFonts w:cs="Arial"/>
          <w:b/>
        </w:rPr>
        <w:t>[**]</w:t>
      </w:r>
      <w:r w:rsidRPr="00741F16">
        <w:rPr>
          <w:rFonts w:cs="Arial"/>
        </w:rPr>
        <w:t xml:space="preserve"> (“the Recipient”).</w:t>
      </w:r>
    </w:p>
    <w:p w14:paraId="6DE9DC9D" w14:textId="77777777" w:rsidR="00184B07" w:rsidRPr="00741F16" w:rsidRDefault="00184B07" w:rsidP="00184B07">
      <w:pPr>
        <w:pStyle w:val="Corpotesto"/>
        <w:rPr>
          <w:rFonts w:cs="Arial"/>
        </w:rPr>
      </w:pPr>
      <w:r w:rsidRPr="00741F16">
        <w:rPr>
          <w:rFonts w:cs="Arial"/>
        </w:rPr>
        <w:t>Both hereinafter referred to as “Party” or “Parties”.</w:t>
      </w:r>
    </w:p>
    <w:p w14:paraId="018468DE" w14:textId="348EEC23" w:rsidR="00184B07" w:rsidRPr="00741F16" w:rsidRDefault="00184B07" w:rsidP="00184B07">
      <w:pPr>
        <w:pStyle w:val="Titolo1"/>
        <w:rPr>
          <w:rFonts w:cs="Arial"/>
        </w:rPr>
      </w:pPr>
      <w:r w:rsidRPr="00741F16">
        <w:rPr>
          <w:rFonts w:cs="Arial"/>
        </w:rPr>
        <w:t xml:space="preserve">1. Scope </w:t>
      </w:r>
    </w:p>
    <w:p w14:paraId="5635CA1A" w14:textId="77777777" w:rsidR="00184B07" w:rsidRPr="00741F16" w:rsidRDefault="00184B07" w:rsidP="00184B07">
      <w:pPr>
        <w:pStyle w:val="Corpotesto"/>
        <w:rPr>
          <w:rFonts w:cs="Arial"/>
        </w:rPr>
      </w:pPr>
      <w:r w:rsidRPr="00741F16">
        <w:rPr>
          <w:rFonts w:cs="Arial"/>
        </w:rPr>
        <w:t xml:space="preserve">The Parties are interested in </w:t>
      </w:r>
      <w:r w:rsidRPr="00741F16">
        <w:rPr>
          <w:rFonts w:cs="Arial"/>
          <w:b/>
        </w:rPr>
        <w:t>[*Insert a detailed description of the Discussions, its purpose and goals*]</w:t>
      </w:r>
      <w:r w:rsidRPr="00741F16">
        <w:rPr>
          <w:rFonts w:cs="Arial"/>
        </w:rPr>
        <w:t>. In this context Ewellix will provide the Recipient certain confidential information.</w:t>
      </w:r>
    </w:p>
    <w:p w14:paraId="0871C45E" w14:textId="77777777" w:rsidR="00184B07" w:rsidRPr="00741F16" w:rsidRDefault="00184B07" w:rsidP="00184B07">
      <w:pPr>
        <w:pStyle w:val="Corpotesto"/>
        <w:rPr>
          <w:rFonts w:cs="Arial"/>
        </w:rPr>
      </w:pPr>
      <w:r w:rsidRPr="00741F16">
        <w:rPr>
          <w:rFonts w:cs="Arial"/>
        </w:rPr>
        <w:t>The scope of the discussions set out above is referred to as the “Discussions”.</w:t>
      </w:r>
    </w:p>
    <w:p w14:paraId="3403443B" w14:textId="2492F35D" w:rsidR="00184B07" w:rsidRPr="00741F16" w:rsidRDefault="00184B07" w:rsidP="00184B07">
      <w:pPr>
        <w:pStyle w:val="Titolo1"/>
        <w:rPr>
          <w:rFonts w:cs="Arial"/>
        </w:rPr>
      </w:pPr>
      <w:r w:rsidRPr="00741F16">
        <w:rPr>
          <w:rFonts w:cs="Arial"/>
        </w:rPr>
        <w:t>2. Confidentiality undertaking</w:t>
      </w:r>
    </w:p>
    <w:p w14:paraId="272B12C8" w14:textId="77777777" w:rsidR="00184B07" w:rsidRPr="00741F16" w:rsidRDefault="00184B07" w:rsidP="00184B07">
      <w:pPr>
        <w:pStyle w:val="Corpotesto"/>
        <w:rPr>
          <w:rFonts w:cs="Arial"/>
        </w:rPr>
      </w:pPr>
      <w:r w:rsidRPr="00741F16">
        <w:rPr>
          <w:rFonts w:cs="Arial"/>
        </w:rPr>
        <w:t>The Recipient shall keep all technical, financial and commercial information disclosed by Ewellix to the Recipient pursuant to the provisions of this Agreement (“Confidential Information”) strictly confidential. In addition, The Recipient undertakes to keep confidential the fact that the Discussions are ongoing between the Parties.</w:t>
      </w:r>
      <w:r w:rsidRPr="00741F16">
        <w:rPr>
          <w:rFonts w:cs="Arial"/>
        </w:rPr>
        <w:tab/>
      </w:r>
    </w:p>
    <w:p w14:paraId="4F880AB9" w14:textId="77777777" w:rsidR="00184B07" w:rsidRPr="00741F16" w:rsidRDefault="00184B07" w:rsidP="00184B07">
      <w:pPr>
        <w:pStyle w:val="Corpotesto"/>
        <w:rPr>
          <w:rFonts w:cs="Arial"/>
        </w:rPr>
      </w:pPr>
      <w:r w:rsidRPr="00741F16">
        <w:rPr>
          <w:rFonts w:cs="Arial"/>
        </w:rPr>
        <w:t xml:space="preserve">The Recipient shall not use the Confidential Information for any purposes other than to perform its obligations under this Agreement. The Recipient shall only provide Confidential Information to its employees, advisors, contractors or affiliates if such disclosure is necessary for the furtherance of the Discussions (need to know basis). The Recipient shall ensure that the recipients of the Confidential Information are bound by confidentiality obligations no less restrictive than what follows from this Agreement. The Recipient shall be liable towards Ewellix for any breach of the confidentiality obligations by such recipients.     </w:t>
      </w:r>
    </w:p>
    <w:p w14:paraId="784CF766" w14:textId="24FD9A40" w:rsidR="00184B07" w:rsidRPr="00741F16" w:rsidRDefault="00184B07" w:rsidP="00184B07">
      <w:pPr>
        <w:pStyle w:val="Titolo1"/>
        <w:rPr>
          <w:rFonts w:cs="Arial"/>
        </w:rPr>
      </w:pPr>
      <w:r w:rsidRPr="00741F16">
        <w:rPr>
          <w:rFonts w:cs="Arial"/>
        </w:rPr>
        <w:t>3. Exemptions to the confidentiality undertaking</w:t>
      </w:r>
    </w:p>
    <w:p w14:paraId="350DBFF8" w14:textId="77777777" w:rsidR="00184B07" w:rsidRPr="00741F16" w:rsidRDefault="00184B07" w:rsidP="00184B07">
      <w:pPr>
        <w:pStyle w:val="Corpotesto"/>
        <w:rPr>
          <w:rFonts w:cs="Arial"/>
        </w:rPr>
      </w:pPr>
      <w:r w:rsidRPr="00741F16">
        <w:rPr>
          <w:rFonts w:cs="Arial"/>
        </w:rPr>
        <w:t xml:space="preserve">Confidential Information is not information which the Recipient can prove: </w:t>
      </w:r>
    </w:p>
    <w:p w14:paraId="359367E8" w14:textId="0C0C78CD" w:rsidR="00184B07" w:rsidRPr="00741F16" w:rsidRDefault="00184B07" w:rsidP="00184B07">
      <w:pPr>
        <w:pStyle w:val="dotpoint"/>
        <w:numPr>
          <w:ilvl w:val="0"/>
          <w:numId w:val="11"/>
        </w:numPr>
        <w:rPr>
          <w:rFonts w:cs="Arial"/>
        </w:rPr>
      </w:pPr>
      <w:r w:rsidRPr="00741F16">
        <w:rPr>
          <w:rFonts w:cs="Arial"/>
        </w:rPr>
        <w:t>at the time of disclosure is in or after the disclosure becomes part of the public domain without breach of this Agreement by the Recipient;</w:t>
      </w:r>
    </w:p>
    <w:p w14:paraId="7305F363" w14:textId="78918E5B" w:rsidR="00184B07" w:rsidRPr="00741F16" w:rsidRDefault="00184B07" w:rsidP="00184B07">
      <w:pPr>
        <w:pStyle w:val="dotpoint"/>
        <w:numPr>
          <w:ilvl w:val="0"/>
          <w:numId w:val="11"/>
        </w:numPr>
        <w:rPr>
          <w:rFonts w:cs="Arial"/>
        </w:rPr>
      </w:pPr>
      <w:r w:rsidRPr="00741F16">
        <w:rPr>
          <w:rFonts w:cs="Arial"/>
        </w:rPr>
        <w:t xml:space="preserve">was rightfully in its possession or known to it prior to the disclosure of the same and which had not been acquired directly or indirectly from Ewellix under a confidentiality obligation; </w:t>
      </w:r>
    </w:p>
    <w:p w14:paraId="46572170" w14:textId="030F2AE1" w:rsidR="00184B07" w:rsidRPr="00741F16" w:rsidRDefault="00184B07" w:rsidP="00184B07">
      <w:pPr>
        <w:pStyle w:val="dotpoint"/>
        <w:numPr>
          <w:ilvl w:val="0"/>
          <w:numId w:val="11"/>
        </w:numPr>
        <w:rPr>
          <w:rFonts w:cs="Arial"/>
        </w:rPr>
      </w:pPr>
      <w:r w:rsidRPr="00741F16">
        <w:rPr>
          <w:rFonts w:cs="Arial"/>
        </w:rPr>
        <w:t>to have received from a third party, provided that such information was not obtained under an obligation of confidentiality or non-use by the said third party towards Ewellix;</w:t>
      </w:r>
    </w:p>
    <w:p w14:paraId="17AAA4ED" w14:textId="77ECA9EA" w:rsidR="00184B07" w:rsidRPr="00741F16" w:rsidRDefault="00184B07" w:rsidP="00184B07">
      <w:pPr>
        <w:pStyle w:val="dotpoint"/>
        <w:numPr>
          <w:ilvl w:val="0"/>
          <w:numId w:val="11"/>
        </w:numPr>
        <w:rPr>
          <w:rFonts w:cs="Arial"/>
        </w:rPr>
      </w:pPr>
      <w:r w:rsidRPr="00741F16">
        <w:rPr>
          <w:rFonts w:cs="Arial"/>
        </w:rPr>
        <w:t xml:space="preserve">the Recipient is requested to disclose pursuant to applicable law, governmental regulation, applicable stock market rules or legal process; provided, however, that the Recipient, if legally possible, shall give Ewellix a prompt notice of such request, shall disclose only such Confidential Information as is required by such authority or process, and shall take reasonable steps to have the confidentiality of such disclosed information protected to the extent possible; or </w:t>
      </w:r>
    </w:p>
    <w:p w14:paraId="0885C668" w14:textId="78BFA278" w:rsidR="00184B07" w:rsidRPr="00741F16" w:rsidRDefault="00184B07" w:rsidP="00184B07">
      <w:pPr>
        <w:pStyle w:val="dotpoint"/>
        <w:numPr>
          <w:ilvl w:val="0"/>
          <w:numId w:val="11"/>
        </w:numPr>
        <w:rPr>
          <w:rFonts w:cs="Arial"/>
        </w:rPr>
      </w:pPr>
      <w:r w:rsidRPr="00741F16">
        <w:rPr>
          <w:rFonts w:cs="Arial"/>
        </w:rPr>
        <w:t>is at any time developed by or for the Recipient independently of any Confidential Information.</w:t>
      </w:r>
    </w:p>
    <w:p w14:paraId="5D8BBED5" w14:textId="77777777" w:rsidR="00184B07" w:rsidRPr="00741F16" w:rsidRDefault="00184B07" w:rsidP="00184B07">
      <w:pPr>
        <w:pStyle w:val="Titolo1"/>
        <w:rPr>
          <w:rFonts w:cs="Arial"/>
        </w:rPr>
      </w:pPr>
      <w:r w:rsidRPr="00741F16">
        <w:rPr>
          <w:rFonts w:cs="Arial"/>
        </w:rPr>
        <w:t xml:space="preserve">4. </w:t>
      </w:r>
      <w:r w:rsidRPr="00741F16">
        <w:rPr>
          <w:rFonts w:cs="Arial"/>
        </w:rPr>
        <w:tab/>
        <w:t>Storage of Confidential Information</w:t>
      </w:r>
    </w:p>
    <w:p w14:paraId="017D9F09" w14:textId="77777777" w:rsidR="00184B07" w:rsidRPr="00741F16" w:rsidRDefault="00184B07" w:rsidP="00184B07">
      <w:pPr>
        <w:pStyle w:val="Corpotesto"/>
        <w:rPr>
          <w:rFonts w:cs="Arial"/>
          <w:sz w:val="20"/>
        </w:rPr>
      </w:pPr>
      <w:r w:rsidRPr="00741F16">
        <w:rPr>
          <w:rFonts w:cs="Arial"/>
          <w:sz w:val="20"/>
        </w:rPr>
        <w:lastRenderedPageBreak/>
        <w:t xml:space="preserve">The Recipient shall provide proper and secure storage for </w:t>
      </w:r>
      <w:proofErr w:type="spellStart"/>
      <w:r w:rsidRPr="00741F16">
        <w:rPr>
          <w:rFonts w:cs="Arial"/>
          <w:sz w:val="20"/>
        </w:rPr>
        <w:t>Ewellix's</w:t>
      </w:r>
      <w:proofErr w:type="spellEnd"/>
      <w:r w:rsidRPr="00741F16">
        <w:rPr>
          <w:rFonts w:cs="Arial"/>
          <w:sz w:val="20"/>
        </w:rPr>
        <w:t xml:space="preserve"> written Confidential Information as well as for all models or notes containing Confidential Information.</w:t>
      </w:r>
    </w:p>
    <w:p w14:paraId="0E7E362B" w14:textId="7E60BF7A" w:rsidR="00184B07" w:rsidRPr="00741F16" w:rsidRDefault="00184B07" w:rsidP="00184B07">
      <w:pPr>
        <w:pStyle w:val="Titolo1"/>
        <w:rPr>
          <w:rFonts w:cs="Arial"/>
        </w:rPr>
      </w:pPr>
      <w:r w:rsidRPr="00741F16">
        <w:rPr>
          <w:rFonts w:cs="Arial"/>
        </w:rPr>
        <w:t>5. Title</w:t>
      </w:r>
    </w:p>
    <w:p w14:paraId="23597229" w14:textId="77777777" w:rsidR="00184B07" w:rsidRPr="00741F16" w:rsidRDefault="00184B07" w:rsidP="00184B07">
      <w:pPr>
        <w:pStyle w:val="Corpotesto"/>
        <w:rPr>
          <w:rFonts w:cs="Arial"/>
        </w:rPr>
      </w:pPr>
      <w:r w:rsidRPr="00741F16">
        <w:rPr>
          <w:rFonts w:cs="Arial"/>
        </w:rPr>
        <w:t xml:space="preserve">All right, title and interest in and to the Confidential Information shall be the exclusive property of Ewellix. No interest, license or any right respecting </w:t>
      </w:r>
      <w:proofErr w:type="spellStart"/>
      <w:r w:rsidRPr="00741F16">
        <w:rPr>
          <w:rFonts w:cs="Arial"/>
        </w:rPr>
        <w:t>Ewellix's</w:t>
      </w:r>
      <w:proofErr w:type="spellEnd"/>
      <w:r w:rsidRPr="00741F16">
        <w:rPr>
          <w:rFonts w:cs="Arial"/>
        </w:rPr>
        <w:t xml:space="preserve"> Confidential Information, other than as expressly set out herein, is granted to the Recipient under this Agreement, by implication or otherwise.</w:t>
      </w:r>
    </w:p>
    <w:p w14:paraId="77099B9C" w14:textId="44D777F0" w:rsidR="00184B07" w:rsidRPr="00741F16" w:rsidRDefault="00184B07" w:rsidP="00184B07">
      <w:pPr>
        <w:pStyle w:val="Titolo1"/>
        <w:rPr>
          <w:rFonts w:cs="Arial"/>
        </w:rPr>
      </w:pPr>
      <w:r w:rsidRPr="00741F16">
        <w:rPr>
          <w:rFonts w:cs="Arial"/>
        </w:rPr>
        <w:t>7. Termination</w:t>
      </w:r>
    </w:p>
    <w:p w14:paraId="0C9424AF" w14:textId="77777777" w:rsidR="00184B07" w:rsidRPr="00741F16" w:rsidRDefault="00184B07" w:rsidP="00184B07">
      <w:pPr>
        <w:pStyle w:val="Corpotesto"/>
        <w:rPr>
          <w:rFonts w:cs="Arial"/>
        </w:rPr>
      </w:pPr>
      <w:r w:rsidRPr="00741F16">
        <w:rPr>
          <w:rFonts w:cs="Arial"/>
        </w:rPr>
        <w:t xml:space="preserve">The Recipient shall at </w:t>
      </w:r>
      <w:proofErr w:type="spellStart"/>
      <w:r w:rsidRPr="00741F16">
        <w:rPr>
          <w:rFonts w:cs="Arial"/>
        </w:rPr>
        <w:t>Ewellix’s</w:t>
      </w:r>
      <w:proofErr w:type="spellEnd"/>
      <w:r w:rsidRPr="00741F16">
        <w:rPr>
          <w:rFonts w:cs="Arial"/>
        </w:rPr>
        <w:t xml:space="preserve"> request, or when the Discussions have ended without leading to any continued cooperation, promptly (i) return all Confidential Information (ii) destroy and permanently delete from its computers and other systems any copies of such Confidential Information and those materials and any work products derived therefrom, including any reports, and (iii) confirm to Ewellix in writing that such destruction and deletion has been executed. The Recipient may retain a copy of the Confidential information if this is required for compliance reasons and provided that the information is retained solely for this purpose. The confidentiality obligation shall remain for a period of three (3) years from the date of </w:t>
      </w:r>
      <w:proofErr w:type="spellStart"/>
      <w:r w:rsidRPr="00741F16">
        <w:rPr>
          <w:rFonts w:cs="Arial"/>
        </w:rPr>
        <w:t>Ewellix’s</w:t>
      </w:r>
      <w:proofErr w:type="spellEnd"/>
      <w:r w:rsidRPr="00741F16">
        <w:rPr>
          <w:rFonts w:cs="Arial"/>
        </w:rPr>
        <w:t xml:space="preserve"> most recent disclosure of Confidential Information to the Recipient. </w:t>
      </w:r>
    </w:p>
    <w:p w14:paraId="1E4FD270" w14:textId="676BC388" w:rsidR="00184B07" w:rsidRPr="00741F16" w:rsidRDefault="00184B07" w:rsidP="00184B07">
      <w:pPr>
        <w:pStyle w:val="Titolo1"/>
        <w:rPr>
          <w:rFonts w:cs="Arial"/>
        </w:rPr>
      </w:pPr>
      <w:r w:rsidRPr="00741F16">
        <w:rPr>
          <w:rFonts w:cs="Arial"/>
        </w:rPr>
        <w:t>8. Governing law and arbitration</w:t>
      </w:r>
    </w:p>
    <w:p w14:paraId="4103471B" w14:textId="77777777" w:rsidR="00184B07" w:rsidRPr="00741F16" w:rsidRDefault="00184B07" w:rsidP="00184B07">
      <w:pPr>
        <w:pStyle w:val="Corpotesto"/>
        <w:rPr>
          <w:rFonts w:cs="Arial"/>
        </w:rPr>
      </w:pPr>
      <w:r w:rsidRPr="00741F16">
        <w:rPr>
          <w:rFonts w:cs="Arial"/>
        </w:rPr>
        <w:t xml:space="preserve">This Agreement is governed by the substantive laws of </w:t>
      </w:r>
      <w:r w:rsidRPr="00741F16">
        <w:rPr>
          <w:rFonts w:cs="Arial"/>
          <w:b/>
        </w:rPr>
        <w:t>[*Insert country*]</w:t>
      </w:r>
      <w:r w:rsidRPr="00741F16">
        <w:rPr>
          <w:rFonts w:cs="Arial"/>
        </w:rPr>
        <w:t>.</w:t>
      </w:r>
    </w:p>
    <w:p w14:paraId="639D9275" w14:textId="77777777" w:rsidR="00184B07" w:rsidRPr="00741F16" w:rsidRDefault="00184B07" w:rsidP="00184B07">
      <w:pPr>
        <w:pStyle w:val="Corpotesto"/>
        <w:rPr>
          <w:rFonts w:cs="Arial"/>
        </w:rPr>
      </w:pPr>
      <w:r w:rsidRPr="00741F16">
        <w:rPr>
          <w:rFonts w:cs="Arial"/>
        </w:rPr>
        <w:t xml:space="preserve">The Recipient agrees that money damages may not be sufficient remedy for any breach of this Agreement and that Ewellix may be entitled to seek injunctive relief as a remedy for any actual or threatened breach of this Agreement, without the posting of a bond, in addition to all other remedies available at law or equity to Ewellix. </w:t>
      </w:r>
    </w:p>
    <w:p w14:paraId="2C391ADD" w14:textId="77777777" w:rsidR="00184B07" w:rsidRPr="00741F16" w:rsidRDefault="00184B07" w:rsidP="00184B07">
      <w:pPr>
        <w:pStyle w:val="Corpotesto"/>
        <w:rPr>
          <w:rFonts w:cs="Arial"/>
        </w:rPr>
      </w:pPr>
    </w:p>
    <w:p w14:paraId="71C0F72C" w14:textId="77777777" w:rsidR="00184B07" w:rsidRPr="00741F16" w:rsidRDefault="00184B07" w:rsidP="00184B07">
      <w:pPr>
        <w:pStyle w:val="Corpotesto"/>
        <w:rPr>
          <w:rFonts w:cs="Arial"/>
        </w:rPr>
      </w:pPr>
      <w:r w:rsidRPr="00741F16">
        <w:rPr>
          <w:rFonts w:cs="Arial"/>
        </w:rPr>
        <w:t xml:space="preserve">Any dispute, controversy or claim arising out of or in connection with this Agreement shall be finally settled by arbitration in accordance with the UNCITRAL Arbitration Rules as at present in force. The appointing authority shall be the International Chamber of Commerce. The place of arbitration shall be </w:t>
      </w:r>
      <w:r w:rsidRPr="00741F16">
        <w:rPr>
          <w:rFonts w:cs="Arial"/>
          <w:b/>
        </w:rPr>
        <w:t>[*Insert city*]</w:t>
      </w:r>
      <w:r w:rsidRPr="00741F16">
        <w:rPr>
          <w:rFonts w:cs="Arial"/>
        </w:rPr>
        <w:t xml:space="preserve">. The language to be used in the arbitral proceedings shall be English. </w:t>
      </w:r>
      <w:r w:rsidRPr="00741F16">
        <w:rPr>
          <w:rFonts w:cs="Arial"/>
          <w:b/>
        </w:rPr>
        <w:t>[Note: This clause will have to be amended depending on the countries involved – talk to your local Ewellix lawyer for advice]</w:t>
      </w:r>
    </w:p>
    <w:p w14:paraId="1921086F" w14:textId="77777777" w:rsidR="00184B07" w:rsidRPr="00741F16" w:rsidRDefault="00184B07" w:rsidP="00184B07">
      <w:pPr>
        <w:pStyle w:val="Corpotesto"/>
        <w:rPr>
          <w:rFonts w:cs="Arial"/>
        </w:rPr>
      </w:pPr>
    </w:p>
    <w:p w14:paraId="6434E73D" w14:textId="77777777" w:rsidR="00184B07" w:rsidRPr="00741F16" w:rsidRDefault="00184B07" w:rsidP="00184B07">
      <w:pPr>
        <w:pStyle w:val="Corpotesto"/>
        <w:rPr>
          <w:rFonts w:cs="Arial"/>
        </w:rPr>
      </w:pPr>
      <w:r w:rsidRPr="00741F16">
        <w:rPr>
          <w:rFonts w:cs="Arial"/>
        </w:rPr>
        <w:t xml:space="preserve">This Agreement has been executed by the Parties in two copies, each Party taking one copy, on the date mentioned below. </w:t>
      </w:r>
    </w:p>
    <w:tbl>
      <w:tblPr>
        <w:tblStyle w:val="Grigliatabel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4590"/>
      </w:tblGrid>
      <w:tr w:rsidR="00184B07" w:rsidRPr="00741F16" w14:paraId="4EB98A3D" w14:textId="77777777" w:rsidTr="00184B07">
        <w:tc>
          <w:tcPr>
            <w:tcW w:w="4590" w:type="dxa"/>
          </w:tcPr>
          <w:p w14:paraId="10E8D607" w14:textId="03975068" w:rsidR="00184B07" w:rsidRPr="00741F16" w:rsidRDefault="00184B07" w:rsidP="002F24A5">
            <w:pPr>
              <w:pStyle w:val="Corpotesto"/>
              <w:tabs>
                <w:tab w:val="clear" w:pos="426"/>
                <w:tab w:val="clear" w:pos="917"/>
              </w:tabs>
              <w:rPr>
                <w:rFonts w:cs="Arial"/>
              </w:rPr>
            </w:pPr>
            <w:r w:rsidRPr="00741F16">
              <w:rPr>
                <w:rFonts w:cs="Arial"/>
              </w:rPr>
              <w:t xml:space="preserve">Place: </w:t>
            </w:r>
            <w:r w:rsidRPr="00741F16">
              <w:rPr>
                <w:rFonts w:cs="Arial"/>
              </w:rPr>
              <w:tab/>
            </w:r>
            <w:r w:rsidRPr="00741F16">
              <w:rPr>
                <w:rFonts w:cs="Arial"/>
                <w:b/>
              </w:rPr>
              <w:t xml:space="preserve"> [**]</w:t>
            </w:r>
          </w:p>
        </w:tc>
        <w:tc>
          <w:tcPr>
            <w:tcW w:w="4590" w:type="dxa"/>
          </w:tcPr>
          <w:p w14:paraId="4F677327" w14:textId="0A841614" w:rsidR="00184B07" w:rsidRPr="00741F16" w:rsidRDefault="00184B07" w:rsidP="002F24A5">
            <w:pPr>
              <w:pStyle w:val="Corpotesto"/>
              <w:tabs>
                <w:tab w:val="clear" w:pos="426"/>
                <w:tab w:val="clear" w:pos="917"/>
              </w:tabs>
              <w:rPr>
                <w:rFonts w:cs="Arial"/>
              </w:rPr>
            </w:pPr>
            <w:r w:rsidRPr="00741F16">
              <w:rPr>
                <w:rFonts w:cs="Arial"/>
              </w:rPr>
              <w:t xml:space="preserve">Place: </w:t>
            </w:r>
            <w:r w:rsidRPr="00741F16">
              <w:rPr>
                <w:rFonts w:cs="Arial"/>
              </w:rPr>
              <w:tab/>
            </w:r>
            <w:r w:rsidRPr="00741F16">
              <w:rPr>
                <w:rFonts w:cs="Arial"/>
                <w:b/>
              </w:rPr>
              <w:t xml:space="preserve"> [**]</w:t>
            </w:r>
          </w:p>
        </w:tc>
      </w:tr>
      <w:tr w:rsidR="00184B07" w:rsidRPr="00741F16" w14:paraId="41305014" w14:textId="77777777" w:rsidTr="00184B07">
        <w:tc>
          <w:tcPr>
            <w:tcW w:w="4590" w:type="dxa"/>
          </w:tcPr>
          <w:p w14:paraId="118C3747" w14:textId="3DFB1173" w:rsidR="00184B07" w:rsidRPr="00741F16" w:rsidRDefault="00184B07" w:rsidP="002F24A5">
            <w:pPr>
              <w:pStyle w:val="Corpotesto"/>
              <w:tabs>
                <w:tab w:val="clear" w:pos="426"/>
                <w:tab w:val="clear" w:pos="917"/>
              </w:tabs>
              <w:rPr>
                <w:rFonts w:cs="Arial"/>
              </w:rPr>
            </w:pPr>
            <w:r w:rsidRPr="00741F16">
              <w:rPr>
                <w:rFonts w:cs="Arial"/>
              </w:rPr>
              <w:t>Date:</w:t>
            </w:r>
            <w:r w:rsidRPr="00741F16">
              <w:rPr>
                <w:rFonts w:cs="Arial"/>
              </w:rPr>
              <w:tab/>
            </w:r>
            <w:r w:rsidRPr="00741F16">
              <w:rPr>
                <w:rFonts w:cs="Arial"/>
                <w:b/>
              </w:rPr>
              <w:t>[**]</w:t>
            </w:r>
          </w:p>
        </w:tc>
        <w:tc>
          <w:tcPr>
            <w:tcW w:w="4590" w:type="dxa"/>
          </w:tcPr>
          <w:p w14:paraId="4B316659" w14:textId="45C3B529" w:rsidR="00184B07" w:rsidRPr="00741F16" w:rsidRDefault="00184B07" w:rsidP="002F24A5">
            <w:pPr>
              <w:pStyle w:val="Corpotesto"/>
              <w:tabs>
                <w:tab w:val="clear" w:pos="426"/>
                <w:tab w:val="clear" w:pos="917"/>
              </w:tabs>
              <w:rPr>
                <w:rFonts w:cs="Arial"/>
              </w:rPr>
            </w:pPr>
            <w:r w:rsidRPr="00741F16">
              <w:rPr>
                <w:rFonts w:cs="Arial"/>
              </w:rPr>
              <w:t xml:space="preserve">Date: </w:t>
            </w:r>
            <w:r w:rsidRPr="00741F16">
              <w:rPr>
                <w:rFonts w:cs="Arial"/>
              </w:rPr>
              <w:tab/>
            </w:r>
            <w:r w:rsidRPr="00741F16">
              <w:rPr>
                <w:rFonts w:cs="Arial"/>
                <w:b/>
              </w:rPr>
              <w:t xml:space="preserve"> [**]</w:t>
            </w:r>
          </w:p>
        </w:tc>
      </w:tr>
      <w:tr w:rsidR="00184B07" w:rsidRPr="00741F16" w14:paraId="6015476B" w14:textId="77777777" w:rsidTr="00184B07">
        <w:tc>
          <w:tcPr>
            <w:tcW w:w="4590" w:type="dxa"/>
          </w:tcPr>
          <w:p w14:paraId="11ED8D7A" w14:textId="77777777" w:rsidR="00184B07" w:rsidRPr="00741F16" w:rsidRDefault="00184B07" w:rsidP="002F24A5">
            <w:pPr>
              <w:pStyle w:val="Corpotesto"/>
              <w:tabs>
                <w:tab w:val="clear" w:pos="426"/>
                <w:tab w:val="clear" w:pos="917"/>
              </w:tabs>
              <w:rPr>
                <w:rFonts w:cs="Arial"/>
              </w:rPr>
            </w:pPr>
          </w:p>
          <w:p w14:paraId="121B1FFD" w14:textId="6B12ED77" w:rsidR="00184B07" w:rsidRPr="00741F16" w:rsidRDefault="00184B07" w:rsidP="002F24A5">
            <w:pPr>
              <w:pStyle w:val="Corpotesto"/>
              <w:tabs>
                <w:tab w:val="clear" w:pos="426"/>
                <w:tab w:val="clear" w:pos="917"/>
              </w:tabs>
              <w:rPr>
                <w:rFonts w:cs="Arial"/>
              </w:rPr>
            </w:pPr>
            <w:r w:rsidRPr="00741F16">
              <w:rPr>
                <w:rFonts w:cs="Arial"/>
              </w:rPr>
              <w:t xml:space="preserve">Ewellix </w:t>
            </w:r>
            <w:r w:rsidRPr="00741F16">
              <w:rPr>
                <w:rFonts w:cs="Arial"/>
                <w:b/>
              </w:rPr>
              <w:t>[*Insert local Ewellix legal unit*]</w:t>
            </w:r>
          </w:p>
        </w:tc>
        <w:tc>
          <w:tcPr>
            <w:tcW w:w="4590" w:type="dxa"/>
          </w:tcPr>
          <w:p w14:paraId="6159402F" w14:textId="77777777" w:rsidR="00184B07" w:rsidRPr="00741F16" w:rsidRDefault="00184B07" w:rsidP="002F24A5">
            <w:pPr>
              <w:pStyle w:val="Corpotesto"/>
              <w:tabs>
                <w:tab w:val="clear" w:pos="426"/>
                <w:tab w:val="clear" w:pos="917"/>
              </w:tabs>
              <w:rPr>
                <w:rFonts w:cs="Arial"/>
                <w:b/>
              </w:rPr>
            </w:pPr>
          </w:p>
          <w:p w14:paraId="35A6EE6B" w14:textId="053DC504" w:rsidR="00184B07" w:rsidRPr="00741F16" w:rsidRDefault="00184B07" w:rsidP="002F24A5">
            <w:pPr>
              <w:pStyle w:val="Corpotesto"/>
              <w:tabs>
                <w:tab w:val="clear" w:pos="426"/>
                <w:tab w:val="clear" w:pos="917"/>
              </w:tabs>
              <w:rPr>
                <w:rFonts w:cs="Arial"/>
                <w:b/>
              </w:rPr>
            </w:pPr>
            <w:r w:rsidRPr="00741F16">
              <w:rPr>
                <w:rFonts w:cs="Arial"/>
                <w:b/>
              </w:rPr>
              <w:t>[*Insert other party*]</w:t>
            </w:r>
          </w:p>
        </w:tc>
      </w:tr>
    </w:tbl>
    <w:p w14:paraId="37A4AC54" w14:textId="77777777" w:rsidR="00184B07" w:rsidRPr="00741F16" w:rsidRDefault="00184B07" w:rsidP="00184B07">
      <w:pPr>
        <w:pStyle w:val="Corpotesto"/>
        <w:rPr>
          <w:rFonts w:cs="Arial"/>
        </w:rPr>
      </w:pPr>
    </w:p>
    <w:p w14:paraId="7324FDF4" w14:textId="77777777" w:rsidR="00184B07" w:rsidRPr="00741F16" w:rsidRDefault="00184B07" w:rsidP="00184B07">
      <w:pPr>
        <w:pStyle w:val="Corpotesto"/>
        <w:rPr>
          <w:rFonts w:cs="Arial"/>
        </w:rPr>
      </w:pPr>
    </w:p>
    <w:p w14:paraId="6D2F7558" w14:textId="77777777" w:rsidR="00184B07" w:rsidRPr="00741F16" w:rsidRDefault="00184B07" w:rsidP="00184B07">
      <w:pPr>
        <w:pStyle w:val="Corpotesto"/>
        <w:rPr>
          <w:rFonts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19"/>
        <w:gridCol w:w="4389"/>
      </w:tblGrid>
      <w:tr w:rsidR="00184B07" w:rsidRPr="00741F16" w14:paraId="42BB70FF" w14:textId="77777777" w:rsidTr="00184B07">
        <w:trPr>
          <w:trHeight w:val="880"/>
        </w:trPr>
        <w:tc>
          <w:tcPr>
            <w:tcW w:w="4361" w:type="dxa"/>
            <w:tcBorders>
              <w:top w:val="single" w:sz="4" w:space="0" w:color="auto"/>
              <w:bottom w:val="single" w:sz="4" w:space="0" w:color="auto"/>
            </w:tcBorders>
          </w:tcPr>
          <w:p w14:paraId="058F3294" w14:textId="77777777" w:rsidR="00184B07" w:rsidRPr="00741F16" w:rsidRDefault="00184B07" w:rsidP="00A667C0">
            <w:pPr>
              <w:pStyle w:val="Corpotesto"/>
              <w:tabs>
                <w:tab w:val="clear" w:pos="426"/>
                <w:tab w:val="clear" w:pos="917"/>
              </w:tabs>
              <w:rPr>
                <w:rFonts w:cs="Arial"/>
              </w:rPr>
            </w:pPr>
            <w:r w:rsidRPr="00741F16">
              <w:rPr>
                <w:rFonts w:cs="Arial"/>
              </w:rPr>
              <w:t>Signature</w:t>
            </w:r>
          </w:p>
        </w:tc>
        <w:tc>
          <w:tcPr>
            <w:tcW w:w="425" w:type="dxa"/>
          </w:tcPr>
          <w:p w14:paraId="61941488" w14:textId="77777777" w:rsidR="00184B07" w:rsidRPr="00741F16" w:rsidRDefault="00184B07" w:rsidP="00A667C0">
            <w:pPr>
              <w:pStyle w:val="Corpotesto"/>
              <w:tabs>
                <w:tab w:val="clear" w:pos="426"/>
                <w:tab w:val="clear" w:pos="917"/>
              </w:tabs>
              <w:rPr>
                <w:rFonts w:cs="Arial"/>
              </w:rPr>
            </w:pPr>
          </w:p>
        </w:tc>
        <w:tc>
          <w:tcPr>
            <w:tcW w:w="4496" w:type="dxa"/>
            <w:tcBorders>
              <w:top w:val="single" w:sz="4" w:space="0" w:color="auto"/>
              <w:bottom w:val="single" w:sz="4" w:space="0" w:color="auto"/>
            </w:tcBorders>
          </w:tcPr>
          <w:p w14:paraId="08E48B2A" w14:textId="77777777" w:rsidR="00184B07" w:rsidRPr="00741F16" w:rsidRDefault="00184B07" w:rsidP="00A667C0">
            <w:pPr>
              <w:pStyle w:val="Corpotesto"/>
              <w:tabs>
                <w:tab w:val="clear" w:pos="426"/>
                <w:tab w:val="clear" w:pos="917"/>
              </w:tabs>
              <w:rPr>
                <w:rFonts w:cs="Arial"/>
              </w:rPr>
            </w:pPr>
            <w:r w:rsidRPr="00741F16">
              <w:rPr>
                <w:rFonts w:cs="Arial"/>
              </w:rPr>
              <w:t>Signature</w:t>
            </w:r>
          </w:p>
        </w:tc>
      </w:tr>
      <w:tr w:rsidR="00184B07" w:rsidRPr="00741F16" w14:paraId="59AD9474" w14:textId="77777777" w:rsidTr="00184B07">
        <w:tc>
          <w:tcPr>
            <w:tcW w:w="4361" w:type="dxa"/>
            <w:tcBorders>
              <w:top w:val="single" w:sz="4" w:space="0" w:color="auto"/>
            </w:tcBorders>
          </w:tcPr>
          <w:p w14:paraId="2BEABCF5" w14:textId="77777777" w:rsidR="00184B07" w:rsidRPr="00741F16" w:rsidRDefault="00184B07" w:rsidP="00A667C0">
            <w:pPr>
              <w:pStyle w:val="Corpotesto"/>
              <w:tabs>
                <w:tab w:val="clear" w:pos="426"/>
                <w:tab w:val="clear" w:pos="917"/>
              </w:tabs>
              <w:rPr>
                <w:rFonts w:cs="Arial"/>
              </w:rPr>
            </w:pPr>
            <w:r w:rsidRPr="00741F16">
              <w:rPr>
                <w:rFonts w:cs="Arial"/>
              </w:rPr>
              <w:t>Name</w:t>
            </w:r>
          </w:p>
        </w:tc>
        <w:tc>
          <w:tcPr>
            <w:tcW w:w="425" w:type="dxa"/>
          </w:tcPr>
          <w:p w14:paraId="675FC012" w14:textId="77777777" w:rsidR="00184B07" w:rsidRPr="00741F16" w:rsidRDefault="00184B07" w:rsidP="00A667C0">
            <w:pPr>
              <w:pStyle w:val="Corpotesto"/>
              <w:tabs>
                <w:tab w:val="clear" w:pos="426"/>
                <w:tab w:val="clear" w:pos="917"/>
              </w:tabs>
              <w:rPr>
                <w:rFonts w:cs="Arial"/>
              </w:rPr>
            </w:pPr>
          </w:p>
        </w:tc>
        <w:tc>
          <w:tcPr>
            <w:tcW w:w="4496" w:type="dxa"/>
            <w:tcBorders>
              <w:top w:val="single" w:sz="4" w:space="0" w:color="auto"/>
            </w:tcBorders>
          </w:tcPr>
          <w:p w14:paraId="5F584DCD" w14:textId="77777777" w:rsidR="00184B07" w:rsidRPr="00741F16" w:rsidRDefault="00184B07" w:rsidP="00A667C0">
            <w:pPr>
              <w:pStyle w:val="Corpotesto"/>
              <w:tabs>
                <w:tab w:val="clear" w:pos="426"/>
                <w:tab w:val="clear" w:pos="917"/>
              </w:tabs>
              <w:rPr>
                <w:rFonts w:cs="Arial"/>
              </w:rPr>
            </w:pPr>
            <w:r w:rsidRPr="00741F16">
              <w:rPr>
                <w:rFonts w:cs="Arial"/>
              </w:rPr>
              <w:t>Name</w:t>
            </w:r>
          </w:p>
        </w:tc>
      </w:tr>
    </w:tbl>
    <w:p w14:paraId="65AD4E9E" w14:textId="77777777" w:rsidR="00184B07" w:rsidRPr="00741F16" w:rsidRDefault="00184B07" w:rsidP="00184B07">
      <w:pPr>
        <w:pStyle w:val="Corpotesto"/>
        <w:rPr>
          <w:rFonts w:cs="Arial"/>
        </w:rPr>
      </w:pPr>
    </w:p>
    <w:sectPr w:rsidR="00184B07" w:rsidRPr="00741F16" w:rsidSect="004945F2">
      <w:headerReference w:type="even" r:id="rId11"/>
      <w:headerReference w:type="default" r:id="rId12"/>
      <w:footerReference w:type="even" r:id="rId13"/>
      <w:footerReference w:type="default" r:id="rId14"/>
      <w:headerReference w:type="first" r:id="rId15"/>
      <w:footerReference w:type="first" r:id="rId16"/>
      <w:pgSz w:w="11900" w:h="16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34E4" w14:textId="77777777" w:rsidR="00554794" w:rsidRDefault="00554794" w:rsidP="004945F2">
      <w:r>
        <w:separator/>
      </w:r>
    </w:p>
  </w:endnote>
  <w:endnote w:type="continuationSeparator" w:id="0">
    <w:p w14:paraId="20549ED7" w14:textId="77777777" w:rsidR="00554794" w:rsidRDefault="00554794" w:rsidP="0049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3598" w14:textId="77777777" w:rsidR="00F21483" w:rsidRDefault="00F2148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23E1" w14:textId="77777777" w:rsidR="00F21483" w:rsidRDefault="00F2148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E3A7" w14:textId="77777777" w:rsidR="00F21483" w:rsidRDefault="00F214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8288" w14:textId="77777777" w:rsidR="00554794" w:rsidRDefault="00554794" w:rsidP="004945F2">
      <w:r>
        <w:separator/>
      </w:r>
    </w:p>
  </w:footnote>
  <w:footnote w:type="continuationSeparator" w:id="0">
    <w:p w14:paraId="275F3378" w14:textId="77777777" w:rsidR="00554794" w:rsidRDefault="00554794" w:rsidP="00494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F76B" w14:textId="77777777" w:rsidR="00F21483" w:rsidRDefault="00F214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FE32" w14:textId="77777777" w:rsidR="004F1D14" w:rsidRDefault="004F1D14">
    <w:pPr>
      <w:pStyle w:val="Intestazione"/>
    </w:pPr>
    <w:r>
      <w:rPr>
        <w:noProof/>
        <w:lang w:val="it-IT" w:eastAsia="it-IT"/>
      </w:rPr>
      <w:drawing>
        <wp:anchor distT="0" distB="0" distL="114300" distR="114300" simplePos="0" relativeHeight="251658240" behindDoc="1" locked="0" layoutInCell="1" allowOverlap="1" wp14:anchorId="22D983F4" wp14:editId="1940765D">
          <wp:simplePos x="0" y="0"/>
          <wp:positionH relativeFrom="column">
            <wp:posOffset>-84144</wp:posOffset>
          </wp:positionH>
          <wp:positionV relativeFrom="paragraph">
            <wp:posOffset>51004</wp:posOffset>
          </wp:positionV>
          <wp:extent cx="2141186" cy="10687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
                  <a:stretch>
                    <a:fillRect/>
                  </a:stretch>
                </pic:blipFill>
                <pic:spPr bwMode="auto">
                  <a:xfrm>
                    <a:off x="0" y="0"/>
                    <a:ext cx="2141186" cy="10687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E940" w14:textId="77777777" w:rsidR="00F21483" w:rsidRDefault="00F214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22A"/>
    <w:multiLevelType w:val="hybridMultilevel"/>
    <w:tmpl w:val="1F3CC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531F8D"/>
    <w:multiLevelType w:val="hybridMultilevel"/>
    <w:tmpl w:val="51FCAD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060B25"/>
    <w:multiLevelType w:val="hybridMultilevel"/>
    <w:tmpl w:val="7E340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7446A4"/>
    <w:multiLevelType w:val="hybridMultilevel"/>
    <w:tmpl w:val="A642BCD2"/>
    <w:lvl w:ilvl="0" w:tplc="40C2C4B2">
      <w:start w:val="1"/>
      <w:numFmt w:val="bullet"/>
      <w:pStyle w:val="dotpoin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2876C4"/>
    <w:multiLevelType w:val="hybridMultilevel"/>
    <w:tmpl w:val="12F0F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C15BB3"/>
    <w:multiLevelType w:val="hybridMultilevel"/>
    <w:tmpl w:val="B6382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15860FE"/>
    <w:multiLevelType w:val="hybridMultilevel"/>
    <w:tmpl w:val="779ACF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4436419"/>
    <w:multiLevelType w:val="multilevel"/>
    <w:tmpl w:val="A642B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173E44"/>
    <w:multiLevelType w:val="hybridMultilevel"/>
    <w:tmpl w:val="F1C22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8FA0DEA"/>
    <w:multiLevelType w:val="hybridMultilevel"/>
    <w:tmpl w:val="E71A852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506F40"/>
    <w:multiLevelType w:val="multilevel"/>
    <w:tmpl w:val="BF803E06"/>
    <w:lvl w:ilvl="0">
      <w:start w:val="1"/>
      <w:numFmt w:val="decimal"/>
      <w:lvlText w:val="%1."/>
      <w:lvlJc w:val="left"/>
      <w:pPr>
        <w:ind w:left="360" w:hanging="360"/>
      </w:pPr>
      <w:rPr>
        <w:rFonts w:hint="default"/>
        <w:b/>
        <w:bCs/>
        <w:color w:val="4A4A49"/>
        <w:spacing w:val="-13"/>
        <w:w w:val="100"/>
        <w:sz w:val="18"/>
        <w:szCs w:val="18"/>
        <w:lang w:val="it-IT" w:eastAsia="it-IT" w:bidi="it-IT"/>
      </w:rPr>
    </w:lvl>
    <w:lvl w:ilvl="1">
      <w:start w:val="1"/>
      <w:numFmt w:val="decimal"/>
      <w:lvlText w:val="%1.%2."/>
      <w:lvlJc w:val="left"/>
      <w:pPr>
        <w:ind w:left="792" w:hanging="432"/>
      </w:pPr>
      <w:rPr>
        <w:rFonts w:hint="default"/>
        <w:b/>
        <w:bCs/>
        <w:color w:val="4A4A49"/>
        <w:spacing w:val="-12"/>
        <w:w w:val="100"/>
        <w:sz w:val="18"/>
        <w:szCs w:val="18"/>
        <w:lang w:val="it-IT" w:eastAsia="it-IT" w:bidi="it-IT"/>
      </w:rPr>
    </w:lvl>
    <w:lvl w:ilvl="2">
      <w:start w:val="1"/>
      <w:numFmt w:val="decimal"/>
      <w:lvlText w:val="%1.%2.%3."/>
      <w:lvlJc w:val="left"/>
      <w:pPr>
        <w:ind w:left="1224" w:hanging="504"/>
      </w:pPr>
      <w:rPr>
        <w:rFonts w:hint="default"/>
        <w:lang w:val="it-IT" w:eastAsia="it-IT" w:bidi="it-IT"/>
      </w:rPr>
    </w:lvl>
    <w:lvl w:ilvl="3">
      <w:start w:val="1"/>
      <w:numFmt w:val="decimal"/>
      <w:lvlText w:val="%1.%2.%3.%4."/>
      <w:lvlJc w:val="left"/>
      <w:pPr>
        <w:ind w:left="1728" w:hanging="648"/>
      </w:pPr>
      <w:rPr>
        <w:rFonts w:hint="default"/>
        <w:lang w:val="it-IT" w:eastAsia="it-IT" w:bidi="it-IT"/>
      </w:rPr>
    </w:lvl>
    <w:lvl w:ilvl="4">
      <w:start w:val="1"/>
      <w:numFmt w:val="decimal"/>
      <w:lvlText w:val="%1.%2.%3.%4.%5."/>
      <w:lvlJc w:val="left"/>
      <w:pPr>
        <w:ind w:left="2232" w:hanging="792"/>
      </w:pPr>
      <w:rPr>
        <w:rFonts w:hint="default"/>
        <w:lang w:val="it-IT" w:eastAsia="it-IT" w:bidi="it-IT"/>
      </w:rPr>
    </w:lvl>
    <w:lvl w:ilvl="5">
      <w:start w:val="1"/>
      <w:numFmt w:val="decimal"/>
      <w:lvlText w:val="%1.%2.%3.%4.%5.%6."/>
      <w:lvlJc w:val="left"/>
      <w:pPr>
        <w:ind w:left="2736" w:hanging="936"/>
      </w:pPr>
      <w:rPr>
        <w:rFonts w:hint="default"/>
        <w:lang w:val="it-IT" w:eastAsia="it-IT" w:bidi="it-IT"/>
      </w:rPr>
    </w:lvl>
    <w:lvl w:ilvl="6">
      <w:start w:val="1"/>
      <w:numFmt w:val="decimal"/>
      <w:lvlText w:val="%1.%2.%3.%4.%5.%6.%7."/>
      <w:lvlJc w:val="left"/>
      <w:pPr>
        <w:ind w:left="3240" w:hanging="1080"/>
      </w:pPr>
      <w:rPr>
        <w:rFonts w:hint="default"/>
        <w:lang w:val="it-IT" w:eastAsia="it-IT" w:bidi="it-IT"/>
      </w:rPr>
    </w:lvl>
    <w:lvl w:ilvl="7">
      <w:start w:val="1"/>
      <w:numFmt w:val="decimal"/>
      <w:lvlText w:val="%1.%2.%3.%4.%5.%6.%7.%8."/>
      <w:lvlJc w:val="left"/>
      <w:pPr>
        <w:ind w:left="3744" w:hanging="1224"/>
      </w:pPr>
      <w:rPr>
        <w:rFonts w:hint="default"/>
        <w:lang w:val="it-IT" w:eastAsia="it-IT" w:bidi="it-IT"/>
      </w:rPr>
    </w:lvl>
    <w:lvl w:ilvl="8">
      <w:start w:val="1"/>
      <w:numFmt w:val="decimal"/>
      <w:lvlText w:val="%1.%2.%3.%4.%5.%6.%7.%8.%9."/>
      <w:lvlJc w:val="left"/>
      <w:pPr>
        <w:ind w:left="4320" w:hanging="1440"/>
      </w:pPr>
      <w:rPr>
        <w:rFonts w:hint="default"/>
        <w:lang w:val="it-IT" w:eastAsia="it-IT" w:bidi="it-IT"/>
      </w:rPr>
    </w:lvl>
  </w:abstractNum>
  <w:num w:numId="1" w16cid:durableId="1029570926">
    <w:abstractNumId w:val="10"/>
  </w:num>
  <w:num w:numId="2" w16cid:durableId="1954046238">
    <w:abstractNumId w:val="4"/>
  </w:num>
  <w:num w:numId="3" w16cid:durableId="1098871735">
    <w:abstractNumId w:val="2"/>
  </w:num>
  <w:num w:numId="4" w16cid:durableId="758864195">
    <w:abstractNumId w:val="6"/>
  </w:num>
  <w:num w:numId="5" w16cid:durableId="35812602">
    <w:abstractNumId w:val="1"/>
  </w:num>
  <w:num w:numId="6" w16cid:durableId="893345726">
    <w:abstractNumId w:val="5"/>
  </w:num>
  <w:num w:numId="7" w16cid:durableId="1496652638">
    <w:abstractNumId w:val="8"/>
  </w:num>
  <w:num w:numId="8" w16cid:durableId="1316951091">
    <w:abstractNumId w:val="3"/>
  </w:num>
  <w:num w:numId="9" w16cid:durableId="1762025597">
    <w:abstractNumId w:val="0"/>
  </w:num>
  <w:num w:numId="10" w16cid:durableId="1760982744">
    <w:abstractNumId w:val="7"/>
  </w:num>
  <w:num w:numId="11" w16cid:durableId="5837327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A6"/>
    <w:rsid w:val="00026A08"/>
    <w:rsid w:val="000B5CAF"/>
    <w:rsid w:val="000C43CE"/>
    <w:rsid w:val="0011017B"/>
    <w:rsid w:val="001108C4"/>
    <w:rsid w:val="00160F11"/>
    <w:rsid w:val="00184B07"/>
    <w:rsid w:val="001971FA"/>
    <w:rsid w:val="001D6AD9"/>
    <w:rsid w:val="00206146"/>
    <w:rsid w:val="00224B3D"/>
    <w:rsid w:val="0029752D"/>
    <w:rsid w:val="002C0399"/>
    <w:rsid w:val="002C0DB4"/>
    <w:rsid w:val="002C31A3"/>
    <w:rsid w:val="002C3B31"/>
    <w:rsid w:val="003373A5"/>
    <w:rsid w:val="00346198"/>
    <w:rsid w:val="00391FA6"/>
    <w:rsid w:val="004357DE"/>
    <w:rsid w:val="0044676D"/>
    <w:rsid w:val="004945F2"/>
    <w:rsid w:val="004C425B"/>
    <w:rsid w:val="004D529E"/>
    <w:rsid w:val="004F1D14"/>
    <w:rsid w:val="00500144"/>
    <w:rsid w:val="00521066"/>
    <w:rsid w:val="00554794"/>
    <w:rsid w:val="005F2729"/>
    <w:rsid w:val="00603976"/>
    <w:rsid w:val="00611F27"/>
    <w:rsid w:val="00632CAC"/>
    <w:rsid w:val="00637683"/>
    <w:rsid w:val="00671B85"/>
    <w:rsid w:val="006771CB"/>
    <w:rsid w:val="00677F29"/>
    <w:rsid w:val="0069400C"/>
    <w:rsid w:val="006D4EE5"/>
    <w:rsid w:val="006F5FD3"/>
    <w:rsid w:val="00730A33"/>
    <w:rsid w:val="00741F16"/>
    <w:rsid w:val="007553D3"/>
    <w:rsid w:val="007635C9"/>
    <w:rsid w:val="008036DA"/>
    <w:rsid w:val="00804120"/>
    <w:rsid w:val="008401E5"/>
    <w:rsid w:val="008614D4"/>
    <w:rsid w:val="008A020D"/>
    <w:rsid w:val="008C7DC3"/>
    <w:rsid w:val="008F331D"/>
    <w:rsid w:val="00940372"/>
    <w:rsid w:val="00955168"/>
    <w:rsid w:val="009A1F69"/>
    <w:rsid w:val="009D708C"/>
    <w:rsid w:val="009F03B1"/>
    <w:rsid w:val="009F38E9"/>
    <w:rsid w:val="00A152D7"/>
    <w:rsid w:val="00A8231F"/>
    <w:rsid w:val="00A86899"/>
    <w:rsid w:val="00AC0C11"/>
    <w:rsid w:val="00AD3D7F"/>
    <w:rsid w:val="00B27D67"/>
    <w:rsid w:val="00B6343C"/>
    <w:rsid w:val="00B924FE"/>
    <w:rsid w:val="00BB24CC"/>
    <w:rsid w:val="00BE2A1B"/>
    <w:rsid w:val="00BE523A"/>
    <w:rsid w:val="00BF0DC7"/>
    <w:rsid w:val="00C824F8"/>
    <w:rsid w:val="00CD10A6"/>
    <w:rsid w:val="00DD2F5C"/>
    <w:rsid w:val="00DF69ED"/>
    <w:rsid w:val="00E13C3B"/>
    <w:rsid w:val="00F04931"/>
    <w:rsid w:val="00F21483"/>
    <w:rsid w:val="00F648F7"/>
    <w:rsid w:val="00F74E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E064FE"/>
  <w14:defaultImageDpi w14:val="300"/>
  <w15:docId w15:val="{57A3DB32-C87E-488E-B8F8-90E24044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ITLE1"/>
    <w:basedOn w:val="Corpotesto"/>
    <w:next w:val="Normale"/>
    <w:link w:val="Titolo1Carattere"/>
    <w:uiPriority w:val="9"/>
    <w:qFormat/>
    <w:rsid w:val="006D4EE5"/>
    <w:pPr>
      <w:tabs>
        <w:tab w:val="clear" w:pos="426"/>
        <w:tab w:val="left" w:pos="9632"/>
      </w:tabs>
      <w:spacing w:before="360"/>
      <w:outlineLvl w:val="0"/>
    </w:pPr>
    <w:rPr>
      <w:b/>
      <w:sz w:val="24"/>
      <w:szCs w:val="24"/>
    </w:rPr>
  </w:style>
  <w:style w:type="paragraph" w:styleId="Titolo2">
    <w:name w:val="heading 2"/>
    <w:aliases w:val="TITLE2"/>
    <w:basedOn w:val="Corpotesto"/>
    <w:next w:val="Normale"/>
    <w:link w:val="Titolo2Carattere"/>
    <w:uiPriority w:val="9"/>
    <w:unhideWhenUsed/>
    <w:qFormat/>
    <w:rsid w:val="004F1D14"/>
    <w:pPr>
      <w:tabs>
        <w:tab w:val="left" w:pos="9632"/>
      </w:tabs>
      <w:outlineLvl w:val="1"/>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45F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945F2"/>
    <w:rPr>
      <w:rFonts w:ascii="Lucida Grande" w:hAnsi="Lucida Grande" w:cs="Lucida Grande"/>
      <w:sz w:val="18"/>
      <w:szCs w:val="18"/>
    </w:rPr>
  </w:style>
  <w:style w:type="paragraph" w:styleId="Intestazione">
    <w:name w:val="header"/>
    <w:basedOn w:val="Normale"/>
    <w:link w:val="IntestazioneCarattere"/>
    <w:uiPriority w:val="99"/>
    <w:unhideWhenUsed/>
    <w:rsid w:val="004945F2"/>
    <w:pPr>
      <w:tabs>
        <w:tab w:val="center" w:pos="4536"/>
        <w:tab w:val="right" w:pos="9072"/>
      </w:tabs>
    </w:pPr>
  </w:style>
  <w:style w:type="character" w:customStyle="1" w:styleId="IntestazioneCarattere">
    <w:name w:val="Intestazione Carattere"/>
    <w:basedOn w:val="Carpredefinitoparagrafo"/>
    <w:link w:val="Intestazione"/>
    <w:uiPriority w:val="99"/>
    <w:rsid w:val="004945F2"/>
  </w:style>
  <w:style w:type="paragraph" w:styleId="Pidipagina">
    <w:name w:val="footer"/>
    <w:basedOn w:val="Normale"/>
    <w:link w:val="PidipaginaCarattere"/>
    <w:uiPriority w:val="99"/>
    <w:unhideWhenUsed/>
    <w:rsid w:val="004945F2"/>
    <w:pPr>
      <w:tabs>
        <w:tab w:val="center" w:pos="4536"/>
        <w:tab w:val="right" w:pos="9072"/>
      </w:tabs>
    </w:pPr>
  </w:style>
  <w:style w:type="character" w:customStyle="1" w:styleId="PidipaginaCarattere">
    <w:name w:val="Piè di pagina Carattere"/>
    <w:basedOn w:val="Carpredefinitoparagrafo"/>
    <w:link w:val="Pidipagina"/>
    <w:uiPriority w:val="99"/>
    <w:rsid w:val="004945F2"/>
  </w:style>
  <w:style w:type="paragraph" w:customStyle="1" w:styleId="Paragraphestandard">
    <w:name w:val="[Paragraphe standard]"/>
    <w:basedOn w:val="Normale"/>
    <w:uiPriority w:val="99"/>
    <w:rsid w:val="004945F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CD10A6"/>
    <w:rPr>
      <w:color w:val="0000FF"/>
      <w:u w:val="single"/>
    </w:rPr>
  </w:style>
  <w:style w:type="character" w:customStyle="1" w:styleId="Titolo1Carattere">
    <w:name w:val="Titolo 1 Carattere"/>
    <w:aliases w:val="TITLE1 Carattere"/>
    <w:basedOn w:val="Carpredefinitoparagrafo"/>
    <w:link w:val="Titolo1"/>
    <w:uiPriority w:val="9"/>
    <w:rsid w:val="006D4EE5"/>
    <w:rPr>
      <w:rFonts w:ascii="Arial" w:eastAsia="Helvetica Neue" w:hAnsi="Arial" w:cs="Helvetica Neue"/>
      <w:b/>
      <w:color w:val="4A4A49"/>
      <w:lang w:val="en-GB" w:eastAsia="it-IT" w:bidi="it-IT"/>
    </w:rPr>
  </w:style>
  <w:style w:type="character" w:customStyle="1" w:styleId="Titolo2Carattere">
    <w:name w:val="Titolo 2 Carattere"/>
    <w:aliases w:val="TITLE2 Carattere"/>
    <w:basedOn w:val="Carpredefinitoparagrafo"/>
    <w:link w:val="Titolo2"/>
    <w:uiPriority w:val="9"/>
    <w:rsid w:val="004F1D14"/>
    <w:rPr>
      <w:rFonts w:ascii="Arial" w:eastAsia="Helvetica Neue" w:hAnsi="Arial" w:cs="Helvetica Neue"/>
      <w:b/>
      <w:color w:val="4A4A49"/>
      <w:sz w:val="22"/>
      <w:szCs w:val="22"/>
      <w:lang w:val="en-GB" w:eastAsia="it-IT" w:bidi="it-IT"/>
    </w:rPr>
  </w:style>
  <w:style w:type="paragraph" w:styleId="Corpotesto">
    <w:name w:val="Body Text"/>
    <w:aliases w:val="Bodycopy"/>
    <w:basedOn w:val="Normale"/>
    <w:link w:val="CorpotestoCarattere"/>
    <w:uiPriority w:val="1"/>
    <w:qFormat/>
    <w:rsid w:val="00B27D67"/>
    <w:pPr>
      <w:widowControl w:val="0"/>
      <w:tabs>
        <w:tab w:val="left" w:pos="426"/>
        <w:tab w:val="left" w:pos="917"/>
      </w:tabs>
      <w:autoSpaceDE w:val="0"/>
      <w:autoSpaceDN w:val="0"/>
      <w:spacing w:after="120" w:line="264" w:lineRule="auto"/>
    </w:pPr>
    <w:rPr>
      <w:rFonts w:ascii="Arial" w:eastAsia="Helvetica Neue" w:hAnsi="Arial" w:cs="Helvetica Neue"/>
      <w:color w:val="4A4A49"/>
      <w:sz w:val="18"/>
      <w:szCs w:val="22"/>
      <w:lang w:val="en-GB" w:eastAsia="it-IT" w:bidi="it-IT"/>
    </w:rPr>
  </w:style>
  <w:style w:type="character" w:customStyle="1" w:styleId="CorpotestoCarattere">
    <w:name w:val="Corpo testo Carattere"/>
    <w:aliases w:val="Bodycopy Carattere"/>
    <w:basedOn w:val="Carpredefinitoparagrafo"/>
    <w:link w:val="Corpotesto"/>
    <w:uiPriority w:val="1"/>
    <w:rsid w:val="00B27D67"/>
    <w:rPr>
      <w:rFonts w:ascii="Arial" w:eastAsia="Helvetica Neue" w:hAnsi="Arial" w:cs="Helvetica Neue"/>
      <w:color w:val="4A4A49"/>
      <w:sz w:val="18"/>
      <w:szCs w:val="22"/>
      <w:lang w:val="en-GB" w:eastAsia="it-IT" w:bidi="it-IT"/>
    </w:rPr>
  </w:style>
  <w:style w:type="paragraph" w:customStyle="1" w:styleId="dotpoint">
    <w:name w:val="dot point"/>
    <w:basedOn w:val="Corpotesto"/>
    <w:uiPriority w:val="1"/>
    <w:qFormat/>
    <w:rsid w:val="004F1D14"/>
    <w:pPr>
      <w:numPr>
        <w:numId w:val="8"/>
      </w:numPr>
    </w:pPr>
  </w:style>
  <w:style w:type="paragraph" w:customStyle="1" w:styleId="Documenttitle">
    <w:name w:val="Document title"/>
    <w:basedOn w:val="Corpotesto"/>
    <w:uiPriority w:val="1"/>
    <w:qFormat/>
    <w:rsid w:val="004F1D14"/>
    <w:pPr>
      <w:tabs>
        <w:tab w:val="left" w:pos="9632"/>
      </w:tabs>
    </w:pPr>
    <w:rPr>
      <w:b/>
      <w:color w:val="000000" w:themeColor="text1"/>
      <w:sz w:val="40"/>
    </w:rPr>
  </w:style>
  <w:style w:type="paragraph" w:styleId="Paragrafoelenco">
    <w:name w:val="List Paragraph"/>
    <w:aliases w:val="date"/>
    <w:basedOn w:val="Normale"/>
    <w:uiPriority w:val="1"/>
    <w:qFormat/>
    <w:rsid w:val="00206146"/>
    <w:pPr>
      <w:widowControl w:val="0"/>
      <w:autoSpaceDE w:val="0"/>
      <w:autoSpaceDN w:val="0"/>
    </w:pPr>
    <w:rPr>
      <w:rFonts w:ascii="Arial" w:eastAsia="Helvetica Neue" w:hAnsi="Arial" w:cs="Helvetica Neue"/>
      <w:color w:val="4A4A49"/>
      <w:sz w:val="16"/>
      <w:szCs w:val="22"/>
      <w:lang w:val="en-GB" w:eastAsia="it-IT" w:bidi="it-IT"/>
    </w:rPr>
  </w:style>
  <w:style w:type="table" w:styleId="Grigliatabella">
    <w:name w:val="Table Grid"/>
    <w:basedOn w:val="Tabellanormale"/>
    <w:uiPriority w:val="59"/>
    <w:rsid w:val="00206146"/>
    <w:pPr>
      <w:widowControl w:val="0"/>
      <w:autoSpaceDE w:val="0"/>
      <w:autoSpaceDN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e"/>
    <w:rsid w:val="00184B07"/>
    <w:pPr>
      <w:overflowPunct w:val="0"/>
      <w:autoSpaceDE w:val="0"/>
      <w:autoSpaceDN w:val="0"/>
      <w:adjustRightInd w:val="0"/>
      <w:textAlignment w:val="baseline"/>
    </w:pPr>
    <w:rPr>
      <w:rFonts w:ascii="Times New Roman" w:eastAsia="Times New Roman" w:hAnsi="Times New Roman" w:cs="Times New Roman"/>
      <w:color w:val="00000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5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951FD1AF9E348AD3964E290FA49C5" ma:contentTypeVersion="11" ma:contentTypeDescription="Create a new document." ma:contentTypeScope="" ma:versionID="7231f01d0bce9626c1aaf5e9ccb203e2">
  <xsd:schema xmlns:xsd="http://www.w3.org/2001/XMLSchema" xmlns:xs="http://www.w3.org/2001/XMLSchema" xmlns:p="http://schemas.microsoft.com/office/2006/metadata/properties" xmlns:ns3="61475b47-e15d-41a0-85e2-f873cf4ee6d6" xmlns:ns4="852fa004-8c6b-48c2-a33c-637920508283" targetNamespace="http://schemas.microsoft.com/office/2006/metadata/properties" ma:root="true" ma:fieldsID="21adf0242a5aacb85094584475c3ff84" ns3:_="" ns4:_="">
    <xsd:import namespace="61475b47-e15d-41a0-85e2-f873cf4ee6d6"/>
    <xsd:import namespace="852fa004-8c6b-48c2-a33c-6379205082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75b47-e15d-41a0-85e2-f873cf4ee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2fa004-8c6b-48c2-a33c-6379205082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E88D5BD-1A2C-4540-B56D-C852678B5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75b47-e15d-41a0-85e2-f873cf4ee6d6"/>
    <ds:schemaRef ds:uri="852fa004-8c6b-48c2-a33c-637920508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C4497-601E-4A8C-9DFE-B857EA07FC05}">
  <ds:schemaRefs>
    <ds:schemaRef ds:uri="http://schemas.microsoft.com/sharepoint/v3/contenttype/forms"/>
  </ds:schemaRefs>
</ds:datastoreItem>
</file>

<file path=customXml/itemProps3.xml><?xml version="1.0" encoding="utf-8"?>
<ds:datastoreItem xmlns:ds="http://schemas.openxmlformats.org/officeDocument/2006/customXml" ds:itemID="{F4FC6832-FA71-4032-AD02-8DE08C8F4A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47A876-51C1-4DF2-9331-088D4815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Lemming</dc:creator>
  <cp:keywords/>
  <dc:description/>
  <cp:lastModifiedBy>aferrero</cp:lastModifiedBy>
  <cp:revision>2</cp:revision>
  <dcterms:created xsi:type="dcterms:W3CDTF">2024-01-30T11:31:00Z</dcterms:created>
  <dcterms:modified xsi:type="dcterms:W3CDTF">2024-01-30T11:31:00Z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0x0101004E1951FD1AF9E348AD3964E290FA49C5</vt:lpwstr>
  </property>
</Properties>
</file>